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6º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arán en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con 3 carátulas en blanco y folios A4. </w:t>
      </w:r>
    </w:p>
    <w:p w:rsidR="00000000" w:rsidDel="00000000" w:rsidP="00000000" w:rsidRDefault="00000000" w:rsidRPr="00000000" w14:paraId="0000000A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Además, agregar las siguientes carátulas: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E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 con 3 carátulas en blanco y folios A4. </w:t>
      </w:r>
    </w:p>
    <w:p w:rsidR="00000000" w:rsidDel="00000000" w:rsidP="00000000" w:rsidRDefault="00000000" w:rsidRPr="00000000" w14:paraId="00000011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 agregar las siguientes carátulas: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cuadriculadas y hojas blancas lisas como las que se utilizan para imprimir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5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Escuadra, compás y transportador.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Microfibras de varios colores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TRANSCURSO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16839" w:w="11907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fibdcZSwk0JLLS7VQaf0p8M2w==">AMUW2mWXNdC6kJu2E7hxuJagS805mCYlsZDVpISWmBVZTMkww+zNPPJdpx47fdTeUW289Vg0euiLgwtKIrXEuOtvk6JwIJtETxQNysJ6i6Wg3+Kp+iNFwLI=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2018-12-07T17:08:00Z</dcterms:created>
  <dc:creator>NoteBookP</dc:creator>
</cp:coreProperties>
</file>